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5F4">
    <v:background id="_x0000_s1025">
      <v:fill type="tile" on="t" color2="#FFFFFF" o:title="paper2" focussize="0,0" recolor="t" r:id="rId4"/>
    </v:background>
  </w:background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bCs w:val="0"/>
          <w:color w:val="44546A" w:themeColor="text2"/>
          <w:sz w:val="36"/>
          <w:szCs w:val="36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 w:val="0"/>
          <w:color w:val="44546A" w:themeColor="text2"/>
          <w:sz w:val="36"/>
          <w:szCs w:val="36"/>
          <w:lang w:eastAsia="zh-CN"/>
          <w14:textFill>
            <w14:solidFill>
              <w14:schemeClr w14:val="tx2"/>
            </w14:solidFill>
          </w14:textFill>
        </w:rPr>
        <w:t>门脉高压</w:t>
      </w:r>
      <w:r>
        <w:rPr>
          <w:rFonts w:hint="eastAsia" w:ascii="微软雅黑" w:hAnsi="微软雅黑" w:eastAsia="微软雅黑"/>
          <w:b/>
          <w:bCs w:val="0"/>
          <w:color w:val="44546A" w:themeColor="text2"/>
          <w:sz w:val="36"/>
          <w:szCs w:val="36"/>
          <w14:textFill>
            <w14:solidFill>
              <w14:schemeClr w14:val="tx2"/>
            </w14:solidFill>
          </w14:textFill>
        </w:rPr>
        <w:t>食管胃静脉曲张内镜下</w:t>
      </w:r>
      <w:r>
        <w:rPr>
          <w:rFonts w:hint="eastAsia" w:ascii="微软雅黑" w:hAnsi="微软雅黑" w:eastAsia="微软雅黑"/>
          <w:b/>
          <w:bCs w:val="0"/>
          <w:color w:val="44546A" w:themeColor="text2"/>
          <w:sz w:val="36"/>
          <w:szCs w:val="36"/>
          <w:lang w:eastAsia="zh-CN"/>
          <w14:textFill>
            <w14:solidFill>
              <w14:schemeClr w14:val="tx2"/>
            </w14:solidFill>
          </w14:textFill>
        </w:rPr>
        <w:t>诊治进展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行楷" w:hAnsi="华文行楷" w:eastAsia="华文行楷" w:cs="华文行楷"/>
          <w:b/>
          <w:sz w:val="84"/>
          <w:szCs w:val="84"/>
          <w:lang w:eastAsia="zh-CN"/>
        </w:rPr>
      </w:pPr>
      <w:r>
        <w:rPr>
          <w:rFonts w:hint="eastAsia" w:ascii="华文行楷" w:hAnsi="华文行楷" w:eastAsia="华文行楷" w:cs="华文行楷"/>
          <w:b/>
          <w:color w:val="C00000"/>
          <w:sz w:val="84"/>
          <w:szCs w:val="84"/>
          <w:lang w:eastAsia="zh-CN"/>
        </w:rPr>
        <w:t>会议通知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尊敬的各位专家、同仁：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门脉高压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食管胃静脉曲张出血是肝硬化常见并发症，有较高死亡率，严重危害人们健康。多年以来，消化内镜肩负着食管胃静脉曲张破裂出血的诊治和急救工作。为了提高贵州省食管胃静脉曲张的内镜下治疗技术水平，加强省内外学术交流，推广食管胃静脉曲张的内镜下治疗技术在省内的广泛开展，进一步提高肝硬化患者的生活质量，降低死亡率。</w:t>
      </w:r>
      <w:r>
        <w:rPr>
          <w:rFonts w:hint="eastAsia" w:asciiTheme="minorEastAsia" w:hAnsiTheme="minorEastAsia"/>
          <w:sz w:val="28"/>
          <w:szCs w:val="28"/>
          <w:lang w:eastAsia="zh-CN"/>
        </w:rPr>
        <w:t>由中国食管胃静脉曲张内镜下治疗培训基地、贵州省消化系统疾病临床医学研究中心主办的国家级继教项目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eastAsia="zh-CN"/>
        </w:rPr>
        <w:t>门脉高压</w:t>
      </w:r>
      <w:r>
        <w:rPr>
          <w:rFonts w:hint="eastAsia" w:asciiTheme="minorEastAsia" w:hAnsiTheme="minorEastAsia"/>
          <w:sz w:val="28"/>
          <w:szCs w:val="28"/>
        </w:rPr>
        <w:t>食管胃静脉曲张内镜下</w:t>
      </w:r>
      <w:r>
        <w:rPr>
          <w:rFonts w:hint="eastAsia" w:asciiTheme="minorEastAsia" w:hAnsiTheme="minorEastAsia"/>
          <w:sz w:val="28"/>
          <w:szCs w:val="28"/>
          <w:lang w:eastAsia="zh-CN"/>
        </w:rPr>
        <w:t>诊治进展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[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项目编号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2018-03-03-228（国）]</w:t>
      </w:r>
      <w:r>
        <w:rPr>
          <w:rFonts w:hint="eastAsia" w:asciiTheme="minorEastAsia" w:hAnsiTheme="minorEastAsia"/>
          <w:sz w:val="28"/>
          <w:szCs w:val="28"/>
        </w:rPr>
        <w:t>将于201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eastAsia="zh-CN"/>
        </w:rPr>
        <w:t>在遵义医学院附属医院举办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此次会议将邀请</w:t>
      </w:r>
      <w:r>
        <w:rPr>
          <w:rFonts w:hint="eastAsia" w:asciiTheme="minorEastAsia" w:hAnsiTheme="minorEastAsia"/>
          <w:sz w:val="28"/>
          <w:szCs w:val="28"/>
          <w:lang w:eastAsia="zh-CN"/>
        </w:rPr>
        <w:t>济南军区总医院孙自勤教授、北京地坛医院李坪</w:t>
      </w:r>
      <w:r>
        <w:rPr>
          <w:rFonts w:hint="eastAsia" w:asciiTheme="minorEastAsia" w:hAnsiTheme="minorEastAsia"/>
          <w:sz w:val="28"/>
          <w:szCs w:val="28"/>
        </w:rPr>
        <w:t>教授</w:t>
      </w:r>
      <w:r>
        <w:rPr>
          <w:rFonts w:hint="eastAsia" w:asciiTheme="minorEastAsia" w:hAnsiTheme="minorEastAsia"/>
          <w:sz w:val="28"/>
          <w:szCs w:val="28"/>
          <w:lang w:eastAsia="zh-CN"/>
        </w:rPr>
        <w:t>、江西赣州第五人民医院梁斌教授等国内知名</w:t>
      </w:r>
      <w:r>
        <w:rPr>
          <w:rFonts w:hint="eastAsia" w:asciiTheme="minorEastAsia" w:hAnsiTheme="minorEastAsia"/>
          <w:sz w:val="28"/>
          <w:szCs w:val="28"/>
        </w:rPr>
        <w:t>消化内镜专家</w:t>
      </w:r>
      <w:r>
        <w:rPr>
          <w:rFonts w:hint="eastAsia" w:asciiTheme="minorEastAsia" w:hAnsiTheme="minorEastAsia"/>
          <w:sz w:val="28"/>
          <w:szCs w:val="28"/>
          <w:lang w:eastAsia="zh-CN"/>
        </w:rPr>
        <w:t>进行专题</w:t>
      </w:r>
      <w:r>
        <w:rPr>
          <w:rFonts w:hint="eastAsia" w:asciiTheme="minorEastAsia" w:hAnsiTheme="minorEastAsia"/>
          <w:sz w:val="28"/>
          <w:szCs w:val="28"/>
        </w:rPr>
        <w:t>讲座、</w:t>
      </w:r>
      <w:r>
        <w:rPr>
          <w:rFonts w:hint="eastAsia" w:asciiTheme="minorEastAsia" w:hAnsiTheme="minorEastAsia"/>
          <w:sz w:val="28"/>
          <w:szCs w:val="28"/>
          <w:lang w:eastAsia="zh-CN"/>
        </w:rPr>
        <w:t>手术操作演示及</w:t>
      </w:r>
      <w:r>
        <w:rPr>
          <w:rFonts w:hint="eastAsia" w:asciiTheme="minorEastAsia" w:hAnsiTheme="minorEastAsia"/>
          <w:sz w:val="28"/>
          <w:szCs w:val="28"/>
        </w:rPr>
        <w:t>手把手操作指导。</w:t>
      </w:r>
      <w:r>
        <w:rPr>
          <w:rFonts w:hint="eastAsia" w:asciiTheme="minorEastAsia" w:hAnsiTheme="minorEastAsia"/>
          <w:sz w:val="28"/>
          <w:szCs w:val="28"/>
          <w:lang w:eastAsia="zh-CN"/>
        </w:rPr>
        <w:t>本次会议授予国家级继续医学教育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I</w:t>
      </w:r>
      <w:r>
        <w:rPr>
          <w:rFonts w:hint="eastAsia" w:asciiTheme="minorEastAsia" w:hAnsiTheme="minorEastAsia"/>
          <w:sz w:val="28"/>
          <w:szCs w:val="28"/>
          <w:lang w:eastAsia="zh-CN"/>
        </w:rPr>
        <w:t>类学分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8分，不收会务费，会议提供14日午餐。住宿费、交通费及其余餐费等费用自理，回单位报销。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诚邀</w:t>
      </w:r>
      <w:r>
        <w:rPr>
          <w:rFonts w:hint="eastAsia" w:asciiTheme="minorEastAsia" w:hAnsiTheme="minorEastAsia"/>
          <w:sz w:val="28"/>
          <w:szCs w:val="28"/>
        </w:rPr>
        <w:t>各位</w:t>
      </w:r>
      <w:r>
        <w:rPr>
          <w:rFonts w:hint="eastAsia" w:asciiTheme="minorEastAsia" w:hAnsiTheme="minorEastAsia"/>
          <w:sz w:val="28"/>
          <w:szCs w:val="28"/>
          <w:lang w:eastAsia="zh-CN"/>
        </w:rPr>
        <w:t>专家、同仁莅临指导</w:t>
      </w:r>
      <w:r>
        <w:rPr>
          <w:rFonts w:hint="eastAsia" w:asciiTheme="minorEastAsia" w:hAnsiTheme="minorEastAsia"/>
          <w:sz w:val="28"/>
          <w:szCs w:val="28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textAlignment w:val="auto"/>
        <w:outlineLvl w:val="9"/>
        <w:rPr>
          <w:rFonts w:hint="eastAsia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textAlignment w:val="auto"/>
        <w:outlineLvl w:val="9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报到日期：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2018年4</w:t>
      </w:r>
      <w:r>
        <w:rPr>
          <w:rFonts w:hint="eastAsia" w:asciiTheme="minorEastAsia" w:hAnsiTheme="minorEastAsia"/>
          <w:b/>
          <w:bCs/>
          <w:sz w:val="28"/>
          <w:szCs w:val="28"/>
        </w:rPr>
        <w:t>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/>
          <w:b/>
          <w:bCs/>
          <w:sz w:val="28"/>
          <w:szCs w:val="28"/>
        </w:rPr>
        <w:t>日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（周五）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14:00-20:00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textAlignment w:val="auto"/>
        <w:outlineLvl w:val="9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会议日期：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2018年4</w:t>
      </w:r>
      <w:r>
        <w:rPr>
          <w:rFonts w:hint="eastAsia" w:asciiTheme="minorEastAsia" w:hAnsiTheme="minorEastAsia"/>
          <w:b/>
          <w:bCs/>
          <w:sz w:val="28"/>
          <w:szCs w:val="28"/>
        </w:rPr>
        <w:t>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/>
          <w:b/>
          <w:bCs/>
          <w:sz w:val="28"/>
          <w:szCs w:val="28"/>
        </w:rPr>
        <w:t>日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（周六）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08:00-16:30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textAlignment w:val="auto"/>
        <w:outlineLvl w:val="9"/>
        <w:rPr>
          <w:rFonts w:hint="eastAsia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会议地点：遵义医学院附属医院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textAlignment w:val="auto"/>
        <w:outlineLvl w:val="9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报到地点及住宿酒店：遵义市北京路深航酒店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inorEastAsia" w:hAnsiTheme="min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中国食管胃静脉曲张诊治规范培训基地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贵州省消化系统疾病临床医学研究中心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遵义医学院附属医院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                大会主席：庹必光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11" w:firstLineChars="1000"/>
        <w:jc w:val="both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16" w:firstLineChars="1500"/>
        <w:jc w:val="both"/>
        <w:textAlignment w:val="auto"/>
        <w:outlineLvl w:val="9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201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b/>
          <w:sz w:val="28"/>
          <w:szCs w:val="28"/>
        </w:rPr>
        <w:t>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/>
          <w:b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/>
          <w:b/>
          <w:bCs/>
          <w:sz w:val="28"/>
          <w:szCs w:val="28"/>
          <w:lang w:eastAsia="zh-CN"/>
        </w:rPr>
      </w:pPr>
    </w:p>
    <w:p>
      <w:pPr>
        <w:spacing w:line="360" w:lineRule="auto"/>
        <w:ind w:firstLine="420"/>
        <w:jc w:val="center"/>
        <w:rPr>
          <w:rFonts w:hint="eastAsia" w:ascii="微软雅黑" w:hAnsi="微软雅黑" w:eastAsia="微软雅黑"/>
          <w:b/>
          <w:color w:val="C00000"/>
          <w:sz w:val="52"/>
          <w:szCs w:val="52"/>
        </w:rPr>
      </w:pPr>
      <w:r>
        <w:rPr>
          <w:rFonts w:hint="eastAsia" w:ascii="微软雅黑" w:hAnsi="微软雅黑" w:eastAsia="微软雅黑"/>
          <w:b/>
          <w:color w:val="C00000"/>
          <w:sz w:val="52"/>
          <w:szCs w:val="52"/>
        </w:rPr>
        <w:t>会</w:t>
      </w:r>
      <w:r>
        <w:rPr>
          <w:rFonts w:hint="eastAsia" w:ascii="微软雅黑" w:hAnsi="微软雅黑" w:eastAsia="微软雅黑"/>
          <w:b/>
          <w:color w:val="C00000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C00000"/>
          <w:sz w:val="52"/>
          <w:szCs w:val="52"/>
        </w:rPr>
        <w:t>议</w:t>
      </w:r>
      <w:r>
        <w:rPr>
          <w:rFonts w:hint="eastAsia" w:ascii="微软雅黑" w:hAnsi="微软雅黑" w:eastAsia="微软雅黑"/>
          <w:b/>
          <w:color w:val="C00000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C00000"/>
          <w:sz w:val="52"/>
          <w:szCs w:val="52"/>
        </w:rPr>
        <w:t>日</w:t>
      </w:r>
      <w:r>
        <w:rPr>
          <w:rFonts w:hint="eastAsia" w:ascii="微软雅黑" w:hAnsi="微软雅黑" w:eastAsia="微软雅黑"/>
          <w:b/>
          <w:color w:val="C00000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C00000"/>
          <w:sz w:val="52"/>
          <w:szCs w:val="52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会议日期：</w:t>
      </w:r>
      <w:r>
        <w:rPr>
          <w:rFonts w:hint="eastAsia" w:asciiTheme="minorEastAsia" w:hAnsiTheme="minorEastAsia"/>
          <w:b/>
          <w:bCs/>
          <w:sz w:val="32"/>
          <w:szCs w:val="32"/>
        </w:rPr>
        <w:t>201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32"/>
          <w:szCs w:val="32"/>
        </w:rPr>
        <w:t>月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14</w:t>
      </w:r>
      <w:r>
        <w:rPr>
          <w:rFonts w:hint="eastAsia" w:asciiTheme="minorEastAsia" w:hAnsiTheme="minorEastAsia"/>
          <w:b/>
          <w:bCs/>
          <w:sz w:val="32"/>
          <w:szCs w:val="32"/>
        </w:rPr>
        <w:t>日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(周六)08:00-16:30</w:t>
      </w: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会议地点：遵义医学院附属医院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行政楼四楼会议室</w:t>
      </w:r>
    </w:p>
    <w:tbl>
      <w:tblPr>
        <w:tblStyle w:val="3"/>
        <w:tblpPr w:leftFromText="180" w:rightFromText="180" w:vertAnchor="text" w:horzAnchor="page" w:tblpX="1595" w:tblpY="529"/>
        <w:tblOverlap w:val="never"/>
        <w:tblW w:w="8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5225"/>
        <w:gridCol w:w="1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0-0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会场签到登记学分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0-0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开幕致辞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庹必光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08:30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-09: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食管胃静脉曲张的紧急内镜处理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孙自勤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09:10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ESVD内镜精准食管胃静脉曲张断流术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歇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10:00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-10: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食管胃静脉曲张内镜下个体化精准治疗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10:40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Le,g型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食管胃静脉曲张内镜下治疗策略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石国庆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1:4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胃底静脉曲张内镜下组织胶治疗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牟海军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11:40-12:10</w:t>
            </w: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透明帽辅助内镜下硬化术治疗内痔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午     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(医院职工食堂)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0-16: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病例操作演示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手把手操作指导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地点：遵义医学院附属医院内镜中心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CC2E5" w:themeFill="accent1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CC2E5" w:themeFill="accent1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活动结束及撤离</w:t>
            </w:r>
          </w:p>
        </w:tc>
      </w:tr>
    </w:tbl>
    <w:p>
      <w:pPr>
        <w:spacing w:line="360" w:lineRule="auto"/>
        <w:ind w:firstLine="420"/>
        <w:jc w:val="right"/>
        <w:rPr>
          <w:rFonts w:asciiTheme="minorEastAsia" w:hAnsiTheme="minorEastAsia"/>
          <w:b/>
          <w:sz w:val="20"/>
        </w:rPr>
      </w:pPr>
    </w:p>
    <w:p/>
    <w:sectPr>
      <w:pgSz w:w="11906" w:h="16838"/>
      <w:pgMar w:top="306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432AF"/>
    <w:rsid w:val="03F432AF"/>
    <w:rsid w:val="08D479E3"/>
    <w:rsid w:val="101D1A12"/>
    <w:rsid w:val="10277776"/>
    <w:rsid w:val="10C52A64"/>
    <w:rsid w:val="12EF3A6E"/>
    <w:rsid w:val="358A5CD6"/>
    <w:rsid w:val="372014D9"/>
    <w:rsid w:val="37CE0359"/>
    <w:rsid w:val="3D9E61DE"/>
    <w:rsid w:val="40BE0A7B"/>
    <w:rsid w:val="464058AA"/>
    <w:rsid w:val="46CE5DC3"/>
    <w:rsid w:val="4B766821"/>
    <w:rsid w:val="551478C7"/>
    <w:rsid w:val="59D474AA"/>
    <w:rsid w:val="5C5D1E8D"/>
    <w:rsid w:val="6629181C"/>
    <w:rsid w:val="66A36A99"/>
    <w:rsid w:val="6DE72142"/>
    <w:rsid w:val="6F084879"/>
    <w:rsid w:val="6F8022C5"/>
    <w:rsid w:val="71EC3BAB"/>
    <w:rsid w:val="72CA1FFD"/>
    <w:rsid w:val="73D7226B"/>
    <w:rsid w:val="74A90045"/>
    <w:rsid w:val="765F1CEA"/>
    <w:rsid w:val="76DA15DF"/>
    <w:rsid w:val="7EF63F7F"/>
    <w:rsid w:val="7F240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922</Characters>
  <Lines>0</Lines>
  <Paragraphs>0</Paragraphs>
  <ScaleCrop>false</ScaleCrop>
  <LinksUpToDate>false</LinksUpToDate>
  <CharactersWithSpaces>971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2017-04-18T14:56:00Z</dcterms:created>
  <dc:creator>Administrator</dc:creator>
  <cp:lastModifiedBy>Administrator</cp:lastModifiedBy>
  <dcterms:modified xsi:type="dcterms:W3CDTF">2018-04-09T02:34:42Z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